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0E78C" w14:textId="77777777" w:rsidR="00C378AA" w:rsidRDefault="00C378AA">
      <w:pPr>
        <w:widowControl w:val="0"/>
        <w:pBdr>
          <w:top w:val="nil"/>
          <w:left w:val="nil"/>
          <w:bottom w:val="nil"/>
          <w:right w:val="nil"/>
          <w:between w:val="nil"/>
        </w:pBdr>
      </w:pPr>
    </w:p>
    <w:p w14:paraId="062F8C14" w14:textId="77777777" w:rsidR="00C378AA" w:rsidRDefault="00293ACC">
      <w:pPr>
        <w:rPr>
          <w:i/>
        </w:rPr>
      </w:pPr>
      <w:bookmarkStart w:id="0" w:name="_gjdgxs" w:colFirst="0" w:colLast="0"/>
      <w:bookmarkEnd w:id="0"/>
      <w:r>
        <w:rPr>
          <w:b/>
        </w:rPr>
        <w:t>Bouwsteen</w:t>
      </w:r>
      <w:r>
        <w:t>: De fiets: centrale uitdaging</w:t>
      </w:r>
    </w:p>
    <w:p w14:paraId="691D80CE" w14:textId="77777777" w:rsidR="00C378AA" w:rsidRDefault="00C378AA"/>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C378AA" w14:paraId="55144AD7"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2BE34FBF" w14:textId="77777777" w:rsidR="00C378AA" w:rsidRDefault="00293ACC">
            <w:pPr>
              <w:widowControl w:val="0"/>
              <w:pBdr>
                <w:top w:val="nil"/>
                <w:left w:val="nil"/>
                <w:bottom w:val="nil"/>
                <w:right w:val="nil"/>
                <w:between w:val="nil"/>
              </w:pBdr>
              <w:spacing w:line="240" w:lineRule="auto"/>
            </w:pPr>
            <w:r>
              <w:rPr>
                <w:b/>
              </w:rPr>
              <w:t>Deze fase in een notendop:</w:t>
            </w:r>
            <w:r>
              <w:t xml:space="preserve"> </w:t>
            </w:r>
          </w:p>
          <w:p w14:paraId="4A7712AD" w14:textId="77777777" w:rsidR="00C378AA" w:rsidRDefault="00293ACC">
            <w:pPr>
              <w:spacing w:before="240"/>
              <w:jc w:val="both"/>
            </w:pPr>
            <w:r>
              <w:t>Deze fase is een korte inleiding waarin de centrale onderzoeksvraag wordt toegelicht.  De leerlingen krijgen een overzicht van de verschillende invalshoeken van waaruit deze onderzoeksvraag benaderd zal worden.</w:t>
            </w:r>
          </w:p>
        </w:tc>
      </w:tr>
      <w:tr w:rsidR="00C378AA" w14:paraId="2C359397"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06880BB3" w14:textId="77777777" w:rsidR="00C378AA" w:rsidRDefault="00293ACC">
            <w:pPr>
              <w:widowControl w:val="0"/>
              <w:pBdr>
                <w:top w:val="nil"/>
                <w:left w:val="nil"/>
                <w:bottom w:val="nil"/>
                <w:right w:val="nil"/>
                <w:between w:val="nil"/>
              </w:pBdr>
              <w:spacing w:line="240" w:lineRule="auto"/>
              <w:rPr>
                <w:i/>
              </w:rPr>
            </w:pPr>
            <w:r>
              <w:rPr>
                <w:b/>
              </w:rPr>
              <w:t>Tijd</w:t>
            </w:r>
            <w:r>
              <w:t>:      10 min</w:t>
            </w:r>
            <w:r>
              <w:rPr>
                <w:i/>
              </w:rPr>
              <w:t xml:space="preserve"> </w:t>
            </w:r>
          </w:p>
        </w:tc>
      </w:tr>
      <w:tr w:rsidR="00C378AA" w14:paraId="773A460A"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1E6BDF39" w14:textId="77777777" w:rsidR="00C378AA" w:rsidRDefault="00293ACC">
            <w:pPr>
              <w:widowControl w:val="0"/>
              <w:pBdr>
                <w:top w:val="nil"/>
                <w:left w:val="nil"/>
                <w:bottom w:val="nil"/>
                <w:right w:val="nil"/>
                <w:between w:val="nil"/>
              </w:pBdr>
              <w:spacing w:line="240" w:lineRule="auto"/>
            </w:pPr>
            <w:r>
              <w:rPr>
                <w:b/>
              </w:rPr>
              <w:t>Leerdoelen</w:t>
            </w:r>
            <w:r>
              <w:t xml:space="preserve">: </w:t>
            </w:r>
          </w:p>
          <w:p w14:paraId="2B5F5F9B" w14:textId="77777777" w:rsidR="00C378AA" w:rsidRDefault="00293ACC">
            <w:pPr>
              <w:spacing w:line="240" w:lineRule="auto"/>
              <w:jc w:val="both"/>
            </w:pPr>
            <w:r>
              <w:t>De leerlingen kunnen…</w:t>
            </w:r>
          </w:p>
          <w:p w14:paraId="04E3853E" w14:textId="77777777" w:rsidR="00C378AA" w:rsidRDefault="00293ACC">
            <w:pPr>
              <w:numPr>
                <w:ilvl w:val="0"/>
                <w:numId w:val="2"/>
              </w:numPr>
              <w:spacing w:line="240" w:lineRule="auto"/>
              <w:jc w:val="both"/>
            </w:pPr>
            <w:r>
              <w:t>de verschillende wetenschappen met hun correcte naam benoemen</w:t>
            </w:r>
          </w:p>
          <w:p w14:paraId="277B5D63" w14:textId="77777777" w:rsidR="00C378AA" w:rsidRDefault="00293ACC">
            <w:pPr>
              <w:numPr>
                <w:ilvl w:val="0"/>
                <w:numId w:val="2"/>
              </w:numPr>
              <w:spacing w:line="240" w:lineRule="auto"/>
              <w:jc w:val="both"/>
            </w:pPr>
            <w:r>
              <w:t>een voorbeeld geven van een onderwerp uit de fysica</w:t>
            </w:r>
          </w:p>
          <w:p w14:paraId="42BA6BD7" w14:textId="77777777" w:rsidR="00C378AA" w:rsidRDefault="00293ACC">
            <w:pPr>
              <w:numPr>
                <w:ilvl w:val="0"/>
                <w:numId w:val="2"/>
              </w:numPr>
              <w:spacing w:line="240" w:lineRule="auto"/>
              <w:jc w:val="both"/>
            </w:pPr>
            <w:r>
              <w:t>een voorbeeld geven van een onderwerp uit de biologie</w:t>
            </w:r>
          </w:p>
          <w:p w14:paraId="04C7FEE3" w14:textId="77777777" w:rsidR="00C378AA" w:rsidRDefault="00293ACC">
            <w:pPr>
              <w:numPr>
                <w:ilvl w:val="0"/>
                <w:numId w:val="2"/>
              </w:numPr>
              <w:spacing w:line="240" w:lineRule="auto"/>
              <w:jc w:val="both"/>
            </w:pPr>
            <w:r>
              <w:t>een voorbeeld geven van een onderwerp uit de aardrijkskunde</w:t>
            </w:r>
          </w:p>
          <w:p w14:paraId="0789ED89" w14:textId="77777777" w:rsidR="00C378AA" w:rsidRDefault="00293ACC">
            <w:pPr>
              <w:numPr>
                <w:ilvl w:val="0"/>
                <w:numId w:val="2"/>
              </w:numPr>
              <w:spacing w:line="240" w:lineRule="auto"/>
              <w:jc w:val="both"/>
            </w:pPr>
            <w:r>
              <w:t>een vo</w:t>
            </w:r>
            <w:r>
              <w:t>orbeeld geven van een activiteit die door een ingenieur uitgevoerd wordt</w:t>
            </w:r>
          </w:p>
          <w:p w14:paraId="516A548B" w14:textId="77777777" w:rsidR="00C378AA" w:rsidRDefault="00293ACC">
            <w:pPr>
              <w:numPr>
                <w:ilvl w:val="0"/>
                <w:numId w:val="2"/>
              </w:numPr>
              <w:spacing w:line="240" w:lineRule="auto"/>
              <w:jc w:val="both"/>
            </w:pPr>
            <w:r>
              <w:t>de verschillende invalshoeken van waaruit de centrale uitdaging benaderd wordt, benoemen</w:t>
            </w:r>
          </w:p>
        </w:tc>
      </w:tr>
      <w:tr w:rsidR="00C378AA" w14:paraId="3FC338CD"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119DDCE8" w14:textId="77777777" w:rsidR="00C378AA" w:rsidRDefault="00293ACC">
            <w:pPr>
              <w:widowControl w:val="0"/>
              <w:spacing w:line="240" w:lineRule="auto"/>
            </w:pPr>
            <w:r>
              <w:rPr>
                <w:b/>
              </w:rPr>
              <w:t xml:space="preserve">Leerinhouden </w:t>
            </w:r>
            <w:r>
              <w:t>(kennis, vaardigheden en attitudes):</w:t>
            </w:r>
          </w:p>
          <w:p w14:paraId="703059B7" w14:textId="77777777" w:rsidR="00C378AA" w:rsidRDefault="00293ACC">
            <w:pPr>
              <w:spacing w:line="240" w:lineRule="auto"/>
              <w:jc w:val="both"/>
            </w:pPr>
            <w:r>
              <w:rPr>
                <w:u w:val="single"/>
              </w:rPr>
              <w:t>Kennis</w:t>
            </w:r>
          </w:p>
          <w:p w14:paraId="09EEAC7B" w14:textId="77777777" w:rsidR="00C378AA" w:rsidRDefault="00293ACC">
            <w:pPr>
              <w:numPr>
                <w:ilvl w:val="0"/>
                <w:numId w:val="4"/>
              </w:numPr>
              <w:spacing w:line="240" w:lineRule="auto"/>
              <w:jc w:val="both"/>
            </w:pPr>
            <w:r>
              <w:t>Basisnotie van wat de verschillende wetenschappen en techniek inhouden</w:t>
            </w:r>
          </w:p>
          <w:p w14:paraId="245BACD9" w14:textId="77777777" w:rsidR="00C378AA" w:rsidRDefault="00C378AA">
            <w:pPr>
              <w:spacing w:line="240" w:lineRule="auto"/>
              <w:ind w:left="720"/>
              <w:jc w:val="both"/>
            </w:pPr>
          </w:p>
          <w:p w14:paraId="6C02C337" w14:textId="77777777" w:rsidR="00C378AA" w:rsidRDefault="00293ACC">
            <w:pPr>
              <w:spacing w:line="240" w:lineRule="auto"/>
              <w:jc w:val="both"/>
              <w:rPr>
                <w:u w:val="single"/>
              </w:rPr>
            </w:pPr>
            <w:r>
              <w:rPr>
                <w:u w:val="single"/>
              </w:rPr>
              <w:t>Vaardigheden</w:t>
            </w:r>
          </w:p>
          <w:p w14:paraId="410812A3" w14:textId="77777777" w:rsidR="00C378AA" w:rsidRDefault="00293ACC">
            <w:pPr>
              <w:spacing w:line="240" w:lineRule="auto"/>
              <w:ind w:left="720"/>
              <w:jc w:val="both"/>
            </w:pPr>
            <w:r>
              <w:t>/</w:t>
            </w:r>
          </w:p>
          <w:p w14:paraId="6DBFC237" w14:textId="77777777" w:rsidR="00C378AA" w:rsidRDefault="00293ACC">
            <w:pPr>
              <w:spacing w:line="240" w:lineRule="auto"/>
              <w:jc w:val="both"/>
              <w:rPr>
                <w:u w:val="single"/>
              </w:rPr>
            </w:pPr>
            <w:r>
              <w:rPr>
                <w:u w:val="single"/>
              </w:rPr>
              <w:t>Attitudes</w:t>
            </w:r>
          </w:p>
          <w:p w14:paraId="708AB15D" w14:textId="77777777" w:rsidR="00C378AA" w:rsidRDefault="00293ACC">
            <w:pPr>
              <w:widowControl w:val="0"/>
              <w:numPr>
                <w:ilvl w:val="0"/>
                <w:numId w:val="1"/>
              </w:numPr>
              <w:pBdr>
                <w:top w:val="nil"/>
                <w:left w:val="nil"/>
                <w:bottom w:val="nil"/>
                <w:right w:val="nil"/>
                <w:between w:val="nil"/>
              </w:pBdr>
              <w:spacing w:line="240" w:lineRule="auto"/>
            </w:pPr>
            <w:r>
              <w:t>Zowel de verschillende wetenschappen (fysica, chemie, biologie, aardrijkskunde), als techniek en engineering in hun eigenheid naar waarde schatten</w:t>
            </w:r>
          </w:p>
          <w:p w14:paraId="13C32085" w14:textId="77777777" w:rsidR="00C378AA" w:rsidRDefault="00293ACC">
            <w:pPr>
              <w:widowControl w:val="0"/>
              <w:numPr>
                <w:ilvl w:val="0"/>
                <w:numId w:val="1"/>
              </w:numPr>
              <w:pBdr>
                <w:top w:val="nil"/>
                <w:left w:val="nil"/>
                <w:bottom w:val="nil"/>
                <w:right w:val="nil"/>
                <w:between w:val="nil"/>
              </w:pBdr>
              <w:spacing w:line="240" w:lineRule="auto"/>
            </w:pPr>
            <w:r>
              <w:t xml:space="preserve">De noodzaak inzien van het interdisciplinair laten samenkomen van de verschillende wetenschappen en techniek </w:t>
            </w:r>
            <w:r>
              <w:t>om een bepaalde centrale onderzoeksvraag of uitdaging op te lossen</w:t>
            </w:r>
          </w:p>
        </w:tc>
      </w:tr>
      <w:tr w:rsidR="00C378AA" w14:paraId="4C165289"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3F66E9F0" w14:textId="77777777" w:rsidR="00C378AA" w:rsidRDefault="00293ACC">
            <w:pPr>
              <w:widowControl w:val="0"/>
              <w:pBdr>
                <w:top w:val="nil"/>
                <w:left w:val="nil"/>
                <w:bottom w:val="nil"/>
                <w:right w:val="nil"/>
                <w:between w:val="nil"/>
              </w:pBdr>
              <w:spacing w:line="240" w:lineRule="auto"/>
            </w:pPr>
            <w:r>
              <w:rPr>
                <w:b/>
              </w:rPr>
              <w:t>Randvoorwaarden</w:t>
            </w:r>
            <w:r>
              <w:t>:</w:t>
            </w:r>
          </w:p>
          <w:p w14:paraId="6A297161" w14:textId="77777777" w:rsidR="00C378AA" w:rsidRDefault="00293ACC">
            <w:pPr>
              <w:widowControl w:val="0"/>
              <w:numPr>
                <w:ilvl w:val="0"/>
                <w:numId w:val="3"/>
              </w:numPr>
              <w:pBdr>
                <w:top w:val="nil"/>
                <w:left w:val="nil"/>
                <w:bottom w:val="nil"/>
                <w:right w:val="nil"/>
                <w:between w:val="nil"/>
              </w:pBdr>
              <w:spacing w:line="240" w:lineRule="auto"/>
            </w:pPr>
            <w:r>
              <w:rPr>
                <w:u w:val="single"/>
              </w:rPr>
              <w:t>Materiaal</w:t>
            </w:r>
            <w:r>
              <w:t xml:space="preserve">: </w:t>
            </w:r>
          </w:p>
          <w:p w14:paraId="52EF843B" w14:textId="77777777" w:rsidR="00C378AA" w:rsidRDefault="00293ACC">
            <w:pPr>
              <w:widowControl w:val="0"/>
              <w:numPr>
                <w:ilvl w:val="1"/>
                <w:numId w:val="3"/>
              </w:numPr>
              <w:pBdr>
                <w:top w:val="nil"/>
                <w:left w:val="nil"/>
                <w:bottom w:val="nil"/>
                <w:right w:val="nil"/>
                <w:between w:val="nil"/>
              </w:pBdr>
              <w:spacing w:line="240" w:lineRule="auto"/>
            </w:pPr>
            <w:r>
              <w:t xml:space="preserve">leerlingenbundel </w:t>
            </w:r>
          </w:p>
          <w:p w14:paraId="49B0BE26" w14:textId="77777777" w:rsidR="00C378AA" w:rsidRDefault="00293ACC">
            <w:pPr>
              <w:widowControl w:val="0"/>
              <w:numPr>
                <w:ilvl w:val="0"/>
                <w:numId w:val="3"/>
              </w:numPr>
              <w:pBdr>
                <w:top w:val="nil"/>
                <w:left w:val="nil"/>
                <w:bottom w:val="nil"/>
                <w:right w:val="nil"/>
                <w:between w:val="nil"/>
              </w:pBdr>
              <w:spacing w:line="240" w:lineRule="auto"/>
            </w:pPr>
            <w:r>
              <w:rPr>
                <w:u w:val="single"/>
              </w:rPr>
              <w:t>Voorkennis leerlingen</w:t>
            </w:r>
            <w:r>
              <w:t xml:space="preserve">: </w:t>
            </w:r>
            <w:r>
              <w:br/>
            </w:r>
            <w:r>
              <w:t>Hoewel er voor deze bouwsteen in principe geen voorkennis vereist is, hebben leerlingen waarschijnlijk al in andere projecten van de verschillende wetenschappen en techniek gehoord.  Tijdens de inleiding van het thema ‘De fiets’ kan je hierop inpikken.</w:t>
            </w:r>
          </w:p>
          <w:p w14:paraId="1C7B952B" w14:textId="77777777" w:rsidR="00C378AA" w:rsidRDefault="00293ACC">
            <w:pPr>
              <w:widowControl w:val="0"/>
              <w:numPr>
                <w:ilvl w:val="0"/>
                <w:numId w:val="3"/>
              </w:numPr>
              <w:pBdr>
                <w:top w:val="nil"/>
                <w:left w:val="nil"/>
                <w:bottom w:val="nil"/>
                <w:right w:val="nil"/>
                <w:between w:val="nil"/>
              </w:pBdr>
              <w:spacing w:line="240" w:lineRule="auto"/>
            </w:pPr>
            <w:r>
              <w:rPr>
                <w:u w:val="single"/>
              </w:rPr>
              <w:t>Ext</w:t>
            </w:r>
            <w:r>
              <w:rPr>
                <w:u w:val="single"/>
              </w:rPr>
              <w:t>ernen</w:t>
            </w:r>
            <w:r>
              <w:t xml:space="preserve">: </w:t>
            </w:r>
            <w:r>
              <w:rPr>
                <w:i/>
              </w:rPr>
              <w:t>/</w:t>
            </w:r>
          </w:p>
        </w:tc>
      </w:tr>
      <w:tr w:rsidR="00C378AA" w14:paraId="28A33F5D"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0F69294A" w14:textId="77777777" w:rsidR="00C378AA" w:rsidRDefault="00293ACC">
            <w:pPr>
              <w:widowControl w:val="0"/>
              <w:spacing w:line="240" w:lineRule="auto"/>
              <w:rPr>
                <w:i/>
              </w:rPr>
            </w:pPr>
            <w:r>
              <w:rPr>
                <w:b/>
              </w:rPr>
              <w:t>Beschrijving leeractiviteiten</w:t>
            </w:r>
            <w:r>
              <w:t xml:space="preserve">: </w:t>
            </w:r>
          </w:p>
          <w:p w14:paraId="5061B55A" w14:textId="77777777" w:rsidR="00C378AA" w:rsidRDefault="00C378AA">
            <w:pPr>
              <w:widowControl w:val="0"/>
              <w:spacing w:line="240" w:lineRule="auto"/>
            </w:pPr>
          </w:p>
          <w:p w14:paraId="4F7723BF" w14:textId="77777777" w:rsidR="00C378AA" w:rsidRDefault="00293ACC">
            <w:pPr>
              <w:widowControl w:val="0"/>
              <w:spacing w:line="240" w:lineRule="auto"/>
            </w:pPr>
            <w:r>
              <w:t>Deze inleiding is een klassikale activiteit.  Je kan het opvatten als een kort OLG rond de centrale onderzoeksvraag.  Je kan ook vertrekken van een woordspin die de leerlingen samen op bord opbouwen.</w:t>
            </w:r>
          </w:p>
        </w:tc>
      </w:tr>
      <w:tr w:rsidR="00C378AA" w14:paraId="1F737D1D"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19C2989F" w14:textId="77777777" w:rsidR="00C378AA" w:rsidRDefault="00293ACC">
            <w:pPr>
              <w:widowControl w:val="0"/>
              <w:spacing w:line="240" w:lineRule="auto"/>
            </w:pPr>
            <w:r>
              <w:rPr>
                <w:b/>
              </w:rPr>
              <w:t>Ondersteunend materiaal voor leerlingen en leerkrachten</w:t>
            </w:r>
            <w:r>
              <w:t>:</w:t>
            </w:r>
          </w:p>
          <w:p w14:paraId="5965CA53" w14:textId="77777777" w:rsidR="00C378AA" w:rsidRDefault="00C378AA">
            <w:pPr>
              <w:widowControl w:val="0"/>
              <w:spacing w:line="240" w:lineRule="auto"/>
            </w:pPr>
          </w:p>
          <w:p w14:paraId="310FC5B1" w14:textId="77777777" w:rsidR="00C378AA" w:rsidRDefault="00293ACC">
            <w:pPr>
              <w:widowControl w:val="0"/>
              <w:numPr>
                <w:ilvl w:val="0"/>
                <w:numId w:val="5"/>
              </w:numPr>
              <w:spacing w:line="240" w:lineRule="auto"/>
            </w:pPr>
            <w:r>
              <w:t>Leerlingenbundel</w:t>
            </w:r>
          </w:p>
          <w:p w14:paraId="451FF496" w14:textId="77777777" w:rsidR="00C378AA" w:rsidRDefault="00293ACC">
            <w:pPr>
              <w:widowControl w:val="0"/>
              <w:numPr>
                <w:ilvl w:val="0"/>
                <w:numId w:val="5"/>
              </w:numPr>
              <w:spacing w:line="240" w:lineRule="auto"/>
            </w:pPr>
            <w:r>
              <w:lastRenderedPageBreak/>
              <w:t>Leerlingenbundel (ingevuld)</w:t>
            </w:r>
          </w:p>
          <w:p w14:paraId="75F6FDCC" w14:textId="77777777" w:rsidR="00C378AA" w:rsidRDefault="00C378AA">
            <w:pPr>
              <w:widowControl w:val="0"/>
              <w:spacing w:line="240" w:lineRule="auto"/>
            </w:pPr>
          </w:p>
        </w:tc>
      </w:tr>
      <w:tr w:rsidR="00C378AA" w14:paraId="4C2312EB"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2C937AB5" w14:textId="77777777" w:rsidR="00C378AA" w:rsidRDefault="00293ACC">
            <w:pPr>
              <w:widowControl w:val="0"/>
              <w:spacing w:line="240" w:lineRule="auto"/>
            </w:pPr>
            <w:r>
              <w:rPr>
                <w:b/>
              </w:rPr>
              <w:lastRenderedPageBreak/>
              <w:t>Reader</w:t>
            </w:r>
            <w:r>
              <w:t>:</w:t>
            </w:r>
          </w:p>
          <w:p w14:paraId="30D73BEF" w14:textId="77777777" w:rsidR="00C378AA" w:rsidRDefault="00C378AA">
            <w:pPr>
              <w:widowControl w:val="0"/>
              <w:numPr>
                <w:ilvl w:val="0"/>
                <w:numId w:val="6"/>
              </w:numPr>
              <w:spacing w:line="240" w:lineRule="auto"/>
            </w:pPr>
          </w:p>
        </w:tc>
      </w:tr>
      <w:tr w:rsidR="00C378AA" w14:paraId="369273B3"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7899AC11" w14:textId="77777777" w:rsidR="00C378AA" w:rsidRDefault="00293ACC">
            <w:pPr>
              <w:widowControl w:val="0"/>
              <w:pBdr>
                <w:top w:val="nil"/>
                <w:left w:val="nil"/>
                <w:bottom w:val="nil"/>
                <w:right w:val="nil"/>
                <w:between w:val="nil"/>
              </w:pBdr>
              <w:spacing w:line="240" w:lineRule="auto"/>
              <w:rPr>
                <w:i/>
                <w:vertAlign w:val="superscript"/>
              </w:rPr>
            </w:pPr>
            <w:r>
              <w:rPr>
                <w:b/>
              </w:rPr>
              <w:t>Leerplandoelen &amp; eindtermen</w:t>
            </w:r>
            <w:r>
              <w:t>:</w:t>
            </w:r>
          </w:p>
          <w:p w14:paraId="3A6AFB31" w14:textId="77777777" w:rsidR="00C378AA" w:rsidRDefault="00293ACC">
            <w:pPr>
              <w:widowControl w:val="0"/>
              <w:pBdr>
                <w:top w:val="nil"/>
                <w:left w:val="nil"/>
                <w:bottom w:val="nil"/>
                <w:right w:val="nil"/>
                <w:between w:val="nil"/>
              </w:pBdr>
              <w:spacing w:line="240" w:lineRule="auto"/>
            </w:pPr>
            <w:r>
              <w:t>Leerplandoelstellingen voor basisvorming 1e graad Natuur, Ruimte en Techniek, A-stroom van het Katholiek Onderwijs Vlaanderen:</w:t>
            </w:r>
          </w:p>
          <w:p w14:paraId="353359BF" w14:textId="77777777" w:rsidR="00C378AA" w:rsidRDefault="00293ACC">
            <w:r>
              <w:t xml:space="preserve"> </w:t>
            </w:r>
            <w:r>
              <w:rPr>
                <w:b/>
              </w:rPr>
              <w:t>LPD 11</w:t>
            </w:r>
            <w:r>
              <w:t xml:space="preserve"> De leerlingen doorlopen een probleemoplossend proces waarbij kennis en vaardigheden uit meerdere STEM-disciplines geïntegreerd worden aangewend.</w:t>
            </w:r>
          </w:p>
          <w:p w14:paraId="0E06D127" w14:textId="77777777" w:rsidR="00C378AA" w:rsidRDefault="00C378AA">
            <w:pPr>
              <w:widowControl w:val="0"/>
              <w:pBdr>
                <w:top w:val="nil"/>
                <w:left w:val="nil"/>
                <w:bottom w:val="nil"/>
                <w:right w:val="nil"/>
                <w:between w:val="nil"/>
              </w:pBdr>
              <w:spacing w:line="240" w:lineRule="auto"/>
              <w:ind w:left="720"/>
            </w:pPr>
          </w:p>
        </w:tc>
      </w:tr>
      <w:tr w:rsidR="00C378AA" w14:paraId="461BAA0D" w14:textId="77777777">
        <w:tc>
          <w:tcPr>
            <w:tcW w:w="9029" w:type="dxa"/>
            <w:tcBorders>
              <w:top w:val="single" w:sz="12" w:space="0" w:color="000000"/>
              <w:left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2B6D6C26" w14:textId="77777777" w:rsidR="00C378AA" w:rsidRDefault="00293ACC">
            <w:pPr>
              <w:widowControl w:val="0"/>
              <w:spacing w:line="240" w:lineRule="auto"/>
              <w:rPr>
                <w:b/>
              </w:rPr>
            </w:pPr>
            <w:r>
              <w:rPr>
                <w:b/>
              </w:rPr>
              <w:t>Ontwikkeld in samenwerking met:</w:t>
            </w:r>
            <w:r>
              <w:rPr>
                <w:noProof/>
              </w:rPr>
              <w:drawing>
                <wp:anchor distT="114300" distB="114300" distL="114300" distR="114300" simplePos="0" relativeHeight="251658240" behindDoc="0" locked="0" layoutInCell="1" hidden="0" allowOverlap="1" wp14:anchorId="70865629" wp14:editId="6CA46904">
                  <wp:simplePos x="0" y="0"/>
                  <wp:positionH relativeFrom="column">
                    <wp:posOffset>4704601</wp:posOffset>
                  </wp:positionH>
                  <wp:positionV relativeFrom="paragraph">
                    <wp:posOffset>190500</wp:posOffset>
                  </wp:positionV>
                  <wp:extent cx="781645" cy="4810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781645" cy="481013"/>
                          </a:xfrm>
                          <a:prstGeom prst="rect">
                            <a:avLst/>
                          </a:prstGeom>
                          <a:ln/>
                        </pic:spPr>
                      </pic:pic>
                    </a:graphicData>
                  </a:graphic>
                </wp:anchor>
              </w:drawing>
            </w:r>
          </w:p>
          <w:p w14:paraId="1FDACAA5" w14:textId="77777777" w:rsidR="00C378AA" w:rsidRDefault="00293ACC">
            <w:pPr>
              <w:widowControl w:val="0"/>
              <w:spacing w:line="240" w:lineRule="auto"/>
              <w:jc w:val="center"/>
              <w:rPr>
                <w:sz w:val="16"/>
                <w:szCs w:val="16"/>
              </w:rPr>
            </w:pPr>
            <w:r>
              <w:rPr>
                <w:b/>
              </w:rPr>
              <w:t xml:space="preserve">                                                                                             </w:t>
            </w:r>
            <w:r>
              <w:rPr>
                <w:sz w:val="16"/>
                <w:szCs w:val="16"/>
              </w:rPr>
              <w:t>Deze bouwsteen werd ontwikkeld door de cel iSTEM Inkleuren in samenwerking met Kindsheid Jesu Hasselt.</w:t>
            </w:r>
            <w:r>
              <w:rPr>
                <w:noProof/>
              </w:rPr>
              <w:drawing>
                <wp:anchor distT="114300" distB="114300" distL="114300" distR="114300" simplePos="0" relativeHeight="251659264" behindDoc="0" locked="0" layoutInCell="1" hidden="0" allowOverlap="1" wp14:anchorId="7A5D9DAF" wp14:editId="74773DAE">
                  <wp:simplePos x="0" y="0"/>
                  <wp:positionH relativeFrom="column">
                    <wp:posOffset>47627</wp:posOffset>
                  </wp:positionH>
                  <wp:positionV relativeFrom="paragraph">
                    <wp:posOffset>219075</wp:posOffset>
                  </wp:positionV>
                  <wp:extent cx="838200" cy="295275"/>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838200" cy="295275"/>
                          </a:xfrm>
                          <a:prstGeom prst="rect">
                            <a:avLst/>
                          </a:prstGeom>
                          <a:ln/>
                        </pic:spPr>
                      </pic:pic>
                    </a:graphicData>
                  </a:graphic>
                </wp:anchor>
              </w:drawing>
            </w:r>
          </w:p>
          <w:p w14:paraId="279CD171" w14:textId="77777777" w:rsidR="00C378AA" w:rsidRDefault="00293ACC">
            <w:pPr>
              <w:widowControl w:val="0"/>
              <w:spacing w:line="240" w:lineRule="auto"/>
              <w:jc w:val="center"/>
              <w:rPr>
                <w:b/>
              </w:rPr>
            </w:pPr>
            <w:r>
              <w:t>Categorie</w:t>
            </w:r>
            <w:r>
              <w:rPr>
                <w:vertAlign w:val="superscript"/>
              </w:rPr>
              <w:footnoteReference w:id="1"/>
            </w:r>
            <w:r>
              <w:t xml:space="preserve"> : </w:t>
            </w:r>
            <w:r>
              <w:rPr>
                <w:rFonts w:ascii="Cambria Math" w:eastAsia="Cambria Math" w:hAnsi="Cambria Math" w:cs="Cambria Math"/>
                <w:sz w:val="24"/>
                <w:szCs w:val="24"/>
              </w:rPr>
              <w:t>⌧</w:t>
            </w:r>
            <w:r>
              <w:t xml:space="preserve"> 1  </w:t>
            </w:r>
            <w:r>
              <w:rPr>
                <w:rFonts w:ascii="Cambria Math" w:eastAsia="Cambria Math" w:hAnsi="Cambria Math" w:cs="Cambria Math"/>
                <w:sz w:val="24"/>
                <w:szCs w:val="24"/>
              </w:rPr>
              <w:t>⌧</w:t>
            </w:r>
            <w:r>
              <w:t xml:space="preserve"> </w:t>
            </w:r>
            <w:r>
              <w:rPr>
                <w:sz w:val="24"/>
                <w:szCs w:val="24"/>
              </w:rPr>
              <w:t xml:space="preserve"> </w:t>
            </w:r>
            <w:r>
              <w:t xml:space="preserve">2   </w:t>
            </w:r>
            <w:r>
              <w:rPr>
                <w:rFonts w:ascii="Cambria Math" w:eastAsia="Cambria Math" w:hAnsi="Cambria Math" w:cs="Cambria Math"/>
                <w:sz w:val="24"/>
                <w:szCs w:val="24"/>
              </w:rPr>
              <w:t>⌧</w:t>
            </w:r>
            <w:r>
              <w:t xml:space="preserve"> 3   </w:t>
            </w:r>
            <w:r>
              <w:rPr>
                <w:rFonts w:ascii="Cambria Math" w:eastAsia="Cambria Math" w:hAnsi="Cambria Math" w:cs="Cambria Math"/>
                <w:sz w:val="24"/>
                <w:szCs w:val="24"/>
              </w:rPr>
              <w:t>◻</w:t>
            </w:r>
            <w:r>
              <w:t xml:space="preserve"> 4</w:t>
            </w:r>
          </w:p>
        </w:tc>
      </w:tr>
    </w:tbl>
    <w:p w14:paraId="2E5791EF" w14:textId="77777777" w:rsidR="00C378AA" w:rsidRDefault="00C378AA"/>
    <w:sectPr w:rsidR="00C378AA">
      <w:headerReference w:type="even" r:id="rId9"/>
      <w:headerReference w:type="default" r:id="rId10"/>
      <w:footerReference w:type="even" r:id="rId11"/>
      <w:footerReference w:type="default" r:id="rId12"/>
      <w:headerReference w:type="first" r:id="rId13"/>
      <w:footerReference w:type="first" r:id="rId14"/>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D8EB5" w14:textId="77777777" w:rsidR="00293ACC" w:rsidRDefault="00293ACC">
      <w:pPr>
        <w:spacing w:line="240" w:lineRule="auto"/>
      </w:pPr>
      <w:r>
        <w:separator/>
      </w:r>
    </w:p>
  </w:endnote>
  <w:endnote w:type="continuationSeparator" w:id="0">
    <w:p w14:paraId="1FBA3E42" w14:textId="77777777" w:rsidR="00293ACC" w:rsidRDefault="00293A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55437" w14:textId="77777777" w:rsidR="00C378AA" w:rsidRDefault="00C378AA">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593CB" w14:textId="77777777" w:rsidR="00C378AA" w:rsidRDefault="00C378AA">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607DB" w14:textId="77777777" w:rsidR="00C378AA" w:rsidRDefault="00C378AA">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F4507" w14:textId="77777777" w:rsidR="00293ACC" w:rsidRDefault="00293ACC">
      <w:pPr>
        <w:spacing w:line="240" w:lineRule="auto"/>
      </w:pPr>
      <w:r>
        <w:separator/>
      </w:r>
    </w:p>
  </w:footnote>
  <w:footnote w:type="continuationSeparator" w:id="0">
    <w:p w14:paraId="60337338" w14:textId="77777777" w:rsidR="00293ACC" w:rsidRDefault="00293ACC">
      <w:pPr>
        <w:spacing w:line="240" w:lineRule="auto"/>
      </w:pPr>
      <w:r>
        <w:continuationSeparator/>
      </w:r>
    </w:p>
  </w:footnote>
  <w:footnote w:id="1">
    <w:p w14:paraId="3BFAF867" w14:textId="77777777" w:rsidR="00C378AA" w:rsidRDefault="00293ACC">
      <w:pPr>
        <w:spacing w:line="240" w:lineRule="auto"/>
        <w:rPr>
          <w:sz w:val="16"/>
          <w:szCs w:val="16"/>
        </w:rPr>
      </w:pPr>
      <w:r>
        <w:rPr>
          <w:vertAlign w:val="superscript"/>
        </w:rPr>
        <w:footnoteRef/>
      </w:r>
      <w:r>
        <w:rPr>
          <w:sz w:val="20"/>
          <w:szCs w:val="20"/>
        </w:rPr>
        <w:t xml:space="preserve"> </w:t>
      </w:r>
      <w:r>
        <w:rPr>
          <w:sz w:val="16"/>
          <w:szCs w:val="16"/>
        </w:rPr>
        <w:t>Categorie 1 : de ontwikkelaars vinden dat het materiaal klaar is voor eerste gebruik.</w:t>
      </w:r>
    </w:p>
    <w:p w14:paraId="261850C6" w14:textId="77777777" w:rsidR="00C378AA" w:rsidRDefault="00293ACC">
      <w:pPr>
        <w:spacing w:line="240" w:lineRule="auto"/>
        <w:rPr>
          <w:sz w:val="16"/>
          <w:szCs w:val="16"/>
        </w:rPr>
      </w:pPr>
      <w:r>
        <w:rPr>
          <w:sz w:val="16"/>
          <w:szCs w:val="16"/>
        </w:rPr>
        <w:t>● Categorie 2: het materiaal is nagelezen door ‘critical friends’ en aangepast aan de feedback</w:t>
      </w:r>
    </w:p>
    <w:p w14:paraId="0DDF8F1A" w14:textId="77777777" w:rsidR="00C378AA" w:rsidRDefault="00293ACC">
      <w:pPr>
        <w:spacing w:line="240" w:lineRule="auto"/>
        <w:rPr>
          <w:sz w:val="16"/>
          <w:szCs w:val="16"/>
        </w:rPr>
      </w:pPr>
      <w:r>
        <w:rPr>
          <w:sz w:val="16"/>
          <w:szCs w:val="16"/>
        </w:rPr>
        <w:t>● Categorie 3: het materiaal is reeds gebruikt in één of meerdere</w:t>
      </w:r>
      <w:r>
        <w:rPr>
          <w:sz w:val="16"/>
          <w:szCs w:val="16"/>
        </w:rPr>
        <w:t xml:space="preserve"> testscholen en is aangepast aan ervaringen opgedaan in die scholen.</w:t>
      </w:r>
    </w:p>
    <w:p w14:paraId="5481A3BF" w14:textId="77777777" w:rsidR="00C378AA" w:rsidRDefault="00293ACC">
      <w:pPr>
        <w:spacing w:line="240" w:lineRule="auto"/>
        <w:rPr>
          <w:sz w:val="16"/>
          <w:szCs w:val="16"/>
        </w:rPr>
      </w:pPr>
      <w:r>
        <w:rPr>
          <w:sz w:val="16"/>
          <w:szCs w:val="16"/>
        </w:rPr>
        <w:t>● Categorie 4: het materiaal is meermaals gebruikt en heeft een zekere staat van maturiteit bereikt.</w:t>
      </w:r>
    </w:p>
    <w:p w14:paraId="0C73C549" w14:textId="77777777" w:rsidR="00C378AA" w:rsidRDefault="00C378AA">
      <w:pPr>
        <w:spacing w:line="240" w:lineRule="auto"/>
        <w:rPr>
          <w:sz w:val="20"/>
          <w:szCs w:val="20"/>
        </w:rPr>
      </w:pPr>
    </w:p>
    <w:p w14:paraId="50642E67" w14:textId="77777777" w:rsidR="00C378AA" w:rsidRDefault="00C378AA">
      <w:pPr>
        <w:spacing w:line="240" w:lineRule="auto"/>
        <w:rPr>
          <w:sz w:val="20"/>
          <w:szCs w:val="20"/>
        </w:rPr>
      </w:pPr>
    </w:p>
    <w:p w14:paraId="2E54F7B1" w14:textId="77777777" w:rsidR="00C378AA" w:rsidRDefault="00C378AA">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DC420" w14:textId="77777777" w:rsidR="00C378AA" w:rsidRDefault="00C378AA">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61243" w14:textId="77777777" w:rsidR="00C378AA" w:rsidRDefault="00C378AA">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ADED0" w14:textId="77777777" w:rsidR="00C378AA" w:rsidRDefault="00C378AA">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F3A43"/>
    <w:multiLevelType w:val="multilevel"/>
    <w:tmpl w:val="BD4227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0F6C82"/>
    <w:multiLevelType w:val="multilevel"/>
    <w:tmpl w:val="0858669E"/>
    <w:lvl w:ilvl="0">
      <w:start w:val="1"/>
      <w:numFmt w:val="bullet"/>
      <w:lvlText w:val="-"/>
      <w:lvlJc w:val="left"/>
      <w:pPr>
        <w:ind w:left="720" w:hanging="360"/>
      </w:pPr>
      <w:rPr>
        <w:rFonts w:ascii="Arial" w:eastAsia="Arial" w:hAnsi="Arial" w:cs="Arial"/>
        <w:sz w:val="20"/>
        <w:szCs w:val="20"/>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0F34136"/>
    <w:multiLevelType w:val="multilevel"/>
    <w:tmpl w:val="DA1011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4FC2CF5"/>
    <w:multiLevelType w:val="multilevel"/>
    <w:tmpl w:val="FE127C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B670E1"/>
    <w:multiLevelType w:val="multilevel"/>
    <w:tmpl w:val="658C47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7F011B3"/>
    <w:multiLevelType w:val="multilevel"/>
    <w:tmpl w:val="5E928C90"/>
    <w:lvl w:ilvl="0">
      <w:start w:val="1"/>
      <w:numFmt w:val="bullet"/>
      <w:lvlText w:val="-"/>
      <w:lvlJc w:val="left"/>
      <w:pPr>
        <w:ind w:left="720" w:hanging="360"/>
      </w:pPr>
      <w:rPr>
        <w:rFonts w:ascii="Arial" w:eastAsia="Arial" w:hAnsi="Arial" w:cs="Arial"/>
        <w:sz w:val="20"/>
        <w:szCs w:val="20"/>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8AA"/>
    <w:rsid w:val="00293ACC"/>
    <w:rsid w:val="00C378AA"/>
    <w:rsid w:val="00F77A0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C2369"/>
  <w15:docId w15:val="{EA55C63A-6DA9-4CE9-BB95-52597353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2096</Characters>
  <Application>Microsoft Office Word</Application>
  <DocSecurity>0</DocSecurity>
  <Lines>17</Lines>
  <Paragraphs>4</Paragraphs>
  <ScaleCrop>false</ScaleCrop>
  <Company>KU Leuven</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Stijn Ceuppens</dc:creator>
  <cp:lastModifiedBy>Stijn Ceuppens</cp:lastModifiedBy>
  <cp:revision>2</cp:revision>
  <dcterms:created xsi:type="dcterms:W3CDTF">2021-07-20T14:14:00Z</dcterms:created>
  <dcterms:modified xsi:type="dcterms:W3CDTF">2021-07-20T14:14:00Z</dcterms:modified>
</cp:coreProperties>
</file>